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28" w:rsidRDefault="00D64928" w:rsidP="00D64928">
      <w:pPr>
        <w:pStyle w:val="NormalnyWeb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Zasady przyznawania dotacji tzw. „małych grantów” ze środków Stowarzyszenia Lokalna Organizacja Turystyczna „Liga Polskich Miast i Miejsc UNESCO”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 xml:space="preserve"> Uchwała Zarządu z dnia 27 września 2017 r.</w:t>
      </w:r>
    </w:p>
    <w:p w:rsidR="00D64928" w:rsidRDefault="00D64928" w:rsidP="00D64928">
      <w:pPr>
        <w:pStyle w:val="NormalnyWeb"/>
        <w:jc w:val="center"/>
        <w:rPr>
          <w:b/>
          <w:bCs/>
        </w:rPr>
      </w:pP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§1</w:t>
      </w:r>
    </w:p>
    <w:p w:rsidR="00D64928" w:rsidRDefault="00D64928" w:rsidP="00D64928">
      <w:pPr>
        <w:pStyle w:val="NormalnyWeb"/>
      </w:pPr>
      <w:r>
        <w:t>Członkowie stowarzyszenia LOT Liga Polskich Miast i Miejsc UNESCO mogą otrzymywać ze strony Stowarzyszenia wsparcie finansowe w formie dotacji tzw. „małych grantów” na cele związane z realizacją zadań statutowych Stowarzyszenia oraz na dofinansowanie nakładów koniecznych na wykonanie prac konserwatorskich i restauratorskich przy zabytku ruchomym w obiektach wpisanych na listę światowego dziedzictwa UNESCO.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§2</w:t>
      </w:r>
    </w:p>
    <w:p w:rsidR="00D64928" w:rsidRDefault="00D64928" w:rsidP="00D64928">
      <w:pPr>
        <w:pStyle w:val="NormalnyWeb"/>
      </w:pPr>
      <w:r>
        <w:t>Dotacja nie może wynosić więcej niż 50% całkowitych kosztów zadania.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§3</w:t>
      </w:r>
    </w:p>
    <w:p w:rsidR="00D64928" w:rsidRDefault="00D64928" w:rsidP="00D64928">
      <w:pPr>
        <w:pStyle w:val="NormalnyWeb"/>
      </w:pPr>
      <w:r>
        <w:t>Wsparcie finansowe nie będzie udzielane na:</w:t>
      </w:r>
      <w:r>
        <w:br/>
        <w:t>1. prowadzenie działalności gospodarczej,</w:t>
      </w:r>
      <w:r>
        <w:br/>
        <w:t>2. działalność polityczną,</w:t>
      </w:r>
      <w:r>
        <w:br/>
        <w:t>3. zadania realizowane już przez inny podmiot ze środków Stowarzyszenia.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§4</w:t>
      </w:r>
    </w:p>
    <w:p w:rsidR="00D64928" w:rsidRDefault="00D64928" w:rsidP="00D64928">
      <w:pPr>
        <w:pStyle w:val="NormalnyWeb"/>
      </w:pPr>
      <w:r>
        <w:t>Przez okres do 3 lat wsparcie finansowe nie będzie przyznawane podmiotom, które:</w:t>
      </w:r>
      <w:r>
        <w:br/>
        <w:t>1. nie rozliczyły się ze Stowarzyszeniem z dotychczasowych zobowiązań,</w:t>
      </w:r>
      <w:r>
        <w:br/>
        <w:t>2. wykorzystały udzielone wsparcie niezgodnie z przeznaczeniem.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§5</w:t>
      </w:r>
    </w:p>
    <w:p w:rsidR="00D64928" w:rsidRDefault="00D64928" w:rsidP="00D64928">
      <w:pPr>
        <w:pStyle w:val="NormalnyWeb"/>
      </w:pPr>
      <w:r>
        <w:t>1. Zarząd Stowarzyszenia dokonuje wyboru wspieranego zadania z uwzględnieniem w szczególności:</w:t>
      </w:r>
      <w:r>
        <w:br/>
        <w:t>– spełnienia warunków formalno-prawnych wniosku,</w:t>
      </w:r>
      <w:r>
        <w:br/>
        <w:t>– znaczenia zadania dla realizowanych przez Stowarzyszenie celów,</w:t>
      </w:r>
      <w:r>
        <w:br/>
        <w:t>– możliwości kontynuacji zadania,</w:t>
      </w:r>
      <w:r>
        <w:br/>
        <w:t>– oceny możliwości realizacji zadania przez podmiot wnioskujący,</w:t>
      </w:r>
      <w:r>
        <w:br/>
        <w:t>– analizy i oceny wykonania poprzednich zadań przez dany podmiot.</w:t>
      </w:r>
      <w:r>
        <w:br/>
        <w:t>2. Przy ustalaniu wysokości przyznanych środków Zarząd Stowarzyszenia uwzględnia w szczególności planowane koszty bezpośrednie realizowanego zadania, środki własne podmiotu, przychody uzyskane przy realizacji zadania.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§6</w:t>
      </w:r>
    </w:p>
    <w:p w:rsidR="00D64928" w:rsidRDefault="00D64928" w:rsidP="00D64928">
      <w:pPr>
        <w:pStyle w:val="NormalnyWeb"/>
      </w:pPr>
      <w:r>
        <w:t>Wnioski o dotacje (wzór – zał.1) podmioty mogą składać w terminie określonym w ogłoszeniu o naborze.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lastRenderedPageBreak/>
        <w:t>§7</w:t>
      </w:r>
    </w:p>
    <w:p w:rsidR="00D64928" w:rsidRDefault="00D64928" w:rsidP="00D64928">
      <w:pPr>
        <w:pStyle w:val="NormalnyWeb"/>
      </w:pPr>
      <w:r>
        <w:t>Udzielenie przez Stowarzyszenie wsparcia finansowego wymaga zawarcia stosownej umowy.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§8</w:t>
      </w:r>
    </w:p>
    <w:p w:rsidR="00D64928" w:rsidRDefault="00D64928" w:rsidP="00D64928">
      <w:pPr>
        <w:pStyle w:val="NormalnyWeb"/>
      </w:pPr>
      <w:r>
        <w:t>1. Ostatecznego rozliczenia przyznanej dotacji podmiot dokonuje w terminie zgodnym z zapisami zawartej umowy.</w:t>
      </w:r>
      <w:r>
        <w:br/>
        <w:t>2. Dotowany podmiot przedkłada sprawozdanie merytoryczne z realizacji prac będących przedmiotem dotacji.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§9</w:t>
      </w:r>
    </w:p>
    <w:p w:rsidR="00D64928" w:rsidRDefault="00D64928" w:rsidP="00D64928">
      <w:pPr>
        <w:pStyle w:val="NormalnyWeb"/>
      </w:pPr>
      <w:r>
        <w:t>Dotacja udzielona w trybie niniejszej uchwały, wykorzystana niezgodnie z przeznaczeniem, podlega natychmiastowemu zwrotowi do budżetu Stowarzyszenia.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§10</w:t>
      </w:r>
    </w:p>
    <w:p w:rsidR="00D64928" w:rsidRDefault="00D64928" w:rsidP="00D64928">
      <w:pPr>
        <w:pStyle w:val="NormalnyWeb"/>
      </w:pPr>
      <w:r>
        <w:t>Wzór wniosku o dotację stanowiący załącznik do niniejszej uchwały podlega publikacji na stronie internetowej Stowarzyszenia (www.liga-unesco.pl).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§11</w:t>
      </w:r>
    </w:p>
    <w:p w:rsidR="00D64928" w:rsidRDefault="00D64928" w:rsidP="00D64928">
      <w:pPr>
        <w:pStyle w:val="NormalnyWeb"/>
      </w:pPr>
      <w:r>
        <w:t>Zarząd może przyznać dotację na innych zasadach niż określone w niniejszej uchwale, w szczególności właścicielom i zarządcom obiektów – członkom Stowarzyszenia, o ile proponowane zadanie nie może być wykonane w trybie niniejszej uchwały i jest ważne dla realizacji zadań statutowych. Dotyczy to dotacji przyznawanej w sytuacjach losowych i klęsk żywiołowych. Nie może ona dotyczyć wsparcia działalności gospodarczej ani działalności politycznej i podlega zwrotowi zgodnie z §9.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§12</w:t>
      </w:r>
    </w:p>
    <w:p w:rsidR="00D64928" w:rsidRDefault="00D64928" w:rsidP="00D64928">
      <w:pPr>
        <w:pStyle w:val="NormalnyWeb"/>
      </w:pPr>
      <w:r>
        <w:t>Wykonanie uchwały powierza się Zarządowi Stowarzyszenia.</w:t>
      </w:r>
    </w:p>
    <w:p w:rsidR="00D64928" w:rsidRDefault="00D64928" w:rsidP="00D64928">
      <w:pPr>
        <w:pStyle w:val="NormalnyWeb"/>
        <w:jc w:val="center"/>
      </w:pPr>
      <w:r>
        <w:rPr>
          <w:b/>
          <w:bCs/>
        </w:rPr>
        <w:t>§13</w:t>
      </w:r>
    </w:p>
    <w:p w:rsidR="00D64928" w:rsidRDefault="00D64928" w:rsidP="00D64928">
      <w:pPr>
        <w:pStyle w:val="NormalnyWeb"/>
      </w:pPr>
      <w:r>
        <w:t>Uchwała wchodzi w życie z dniem podjęcia.</w:t>
      </w:r>
    </w:p>
    <w:p w:rsidR="0057079D" w:rsidRDefault="0057079D"/>
    <w:sectPr w:rsidR="0057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28"/>
    <w:rsid w:val="0057079D"/>
    <w:rsid w:val="00912BC5"/>
    <w:rsid w:val="00D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4B8D-E839-4D5C-86B2-0E86009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4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b.waliszewski</dc:creator>
  <cp:keywords/>
  <dc:description/>
  <cp:lastModifiedBy>Marta Lewandowska</cp:lastModifiedBy>
  <cp:revision>2</cp:revision>
  <dcterms:created xsi:type="dcterms:W3CDTF">2023-03-31T07:55:00Z</dcterms:created>
  <dcterms:modified xsi:type="dcterms:W3CDTF">2023-03-31T07:55:00Z</dcterms:modified>
</cp:coreProperties>
</file>